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3AA4798D" w:rsidR="005241A2" w:rsidRPr="00BF1C46" w:rsidRDefault="003D38BB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 w:rsidRPr="003D38BB">
              <w:rPr>
                <w:b/>
                <w:color w:val="0070C0"/>
                <w:sz w:val="28"/>
                <w:szCs w:val="28"/>
              </w:rPr>
              <w:t xml:space="preserve">Návrh Stanoviska Rady k </w:t>
            </w:r>
            <w:r w:rsidR="00AD2DCE">
              <w:rPr>
                <w:b/>
                <w:color w:val="0070C0"/>
                <w:sz w:val="28"/>
                <w:szCs w:val="28"/>
              </w:rPr>
              <w:t>Národní strategi</w:t>
            </w:r>
            <w:r>
              <w:rPr>
                <w:b/>
                <w:color w:val="0070C0"/>
                <w:sz w:val="28"/>
                <w:szCs w:val="28"/>
              </w:rPr>
              <w:t>i</w:t>
            </w:r>
            <w:r w:rsidR="00AD2DCE">
              <w:rPr>
                <w:b/>
                <w:color w:val="0070C0"/>
                <w:sz w:val="28"/>
                <w:szCs w:val="28"/>
              </w:rPr>
              <w:t xml:space="preserve"> pro kvantové technologie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16D28CF7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770D44">
              <w:rPr>
                <w:b/>
                <w:color w:val="0070C0"/>
                <w:sz w:val="28"/>
                <w:szCs w:val="28"/>
              </w:rPr>
              <w:t>1</w:t>
            </w:r>
            <w:r w:rsidR="00AD2DCE">
              <w:rPr>
                <w:b/>
                <w:color w:val="0070C0"/>
                <w:sz w:val="28"/>
                <w:szCs w:val="28"/>
              </w:rPr>
              <w:t>2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AD2DCE">
              <w:rPr>
                <w:b/>
                <w:color w:val="0070C0"/>
                <w:sz w:val="28"/>
                <w:szCs w:val="28"/>
              </w:rPr>
              <w:t>4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3B1A4FD6" w14:textId="6A35F9D2" w:rsidR="005241A2" w:rsidRPr="002D3C4B" w:rsidRDefault="00AD2DCE" w:rsidP="00AD2DCE">
            <w:pPr>
              <w:spacing w:before="120" w:after="120"/>
              <w:jc w:val="left"/>
              <w:rPr>
                <w:bCs/>
                <w:i/>
              </w:rPr>
            </w:pPr>
            <w:r w:rsidRPr="00AD2DCE">
              <w:rPr>
                <w:bCs/>
                <w:i/>
              </w:rPr>
              <w:t>prof. Matyáš</w:t>
            </w:r>
            <w:r>
              <w:rPr>
                <w:bCs/>
                <w:i/>
              </w:rPr>
              <w:t xml:space="preserve">, </w:t>
            </w:r>
            <w:r w:rsidRPr="00AD2DCE">
              <w:rPr>
                <w:bCs/>
                <w:i/>
              </w:rPr>
              <w:t>prof. Weiter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255BF184" w:rsidR="005241A2" w:rsidRPr="002D3C4B" w:rsidRDefault="005241A2" w:rsidP="002D3C4B">
            <w:pPr>
              <w:spacing w:before="120" w:after="120"/>
              <w:jc w:val="left"/>
              <w:rPr>
                <w:bCs/>
                <w:i/>
              </w:rPr>
            </w:pPr>
            <w:r w:rsidRPr="002D3C4B">
              <w:rPr>
                <w:bCs/>
                <w:i/>
                <w:noProof/>
              </w:rPr>
              <w:t>Odbor</w:t>
            </w:r>
            <w:r w:rsidR="00770D44">
              <w:rPr>
                <w:bCs/>
                <w:i/>
                <w:noProof/>
              </w:rPr>
              <w:t xml:space="preserve"> koordinace výzkumu, vývoje a inovací</w:t>
            </w:r>
            <w:r w:rsidRPr="002D3C4B">
              <w:rPr>
                <w:bCs/>
                <w:i/>
                <w:noProof/>
              </w:rPr>
              <w:t xml:space="preserve">, </w:t>
            </w:r>
            <w:r w:rsidR="00AD2DCE">
              <w:rPr>
                <w:bCs/>
                <w:i/>
                <w:noProof/>
              </w:rPr>
              <w:t>13</w:t>
            </w:r>
            <w:r w:rsidRPr="002D3C4B">
              <w:rPr>
                <w:bCs/>
                <w:i/>
                <w:noProof/>
              </w:rPr>
              <w:t>.</w:t>
            </w:r>
            <w:r w:rsidR="00C635EA">
              <w:rPr>
                <w:bCs/>
                <w:i/>
                <w:noProof/>
              </w:rPr>
              <w:t> </w:t>
            </w:r>
            <w:r w:rsidR="00AD2DCE">
              <w:rPr>
                <w:bCs/>
                <w:i/>
                <w:noProof/>
              </w:rPr>
              <w:t>května</w:t>
            </w:r>
            <w:r w:rsidR="00C635EA">
              <w:rPr>
                <w:bCs/>
                <w:i/>
                <w:noProof/>
              </w:rPr>
              <w:t> </w:t>
            </w:r>
            <w:r w:rsidRPr="002D3C4B">
              <w:rPr>
                <w:bCs/>
                <w:i/>
                <w:noProof/>
              </w:rPr>
              <w:t>202</w:t>
            </w:r>
            <w:r w:rsidR="00770D44">
              <w:rPr>
                <w:bCs/>
                <w:i/>
                <w:noProof/>
              </w:rPr>
              <w:t>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2DA540F6" w14:textId="4EF3C4EF" w:rsidR="00753C51" w:rsidRDefault="005241A2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 xml:space="preserve">Radě pro výzkum, vývoj a inovace (dále jen „Rada“) </w:t>
            </w:r>
            <w:r w:rsidR="00770D44">
              <w:t xml:space="preserve">se předkládá </w:t>
            </w:r>
            <w:r w:rsidR="00AD2DCE">
              <w:t>Národní strategie pro kvantové technologie ke schválení</w:t>
            </w:r>
            <w:r w:rsidR="00C0180B">
              <w:t xml:space="preserve"> (</w:t>
            </w:r>
            <w:r w:rsidR="00C0180B" w:rsidRPr="0044552A">
              <w:t>viz</w:t>
            </w:r>
            <w:r w:rsidR="00B410C9" w:rsidRPr="0044552A">
              <w:t> </w:t>
            </w:r>
            <w:r w:rsidR="00C0180B" w:rsidRPr="0044552A">
              <w:t xml:space="preserve">příloha </w:t>
            </w:r>
            <w:r w:rsidR="0044552A">
              <w:t>1</w:t>
            </w:r>
            <w:r w:rsidR="00C0180B">
              <w:t>)</w:t>
            </w:r>
            <w:r w:rsidR="00B410C9">
              <w:t>.</w:t>
            </w:r>
          </w:p>
          <w:p w14:paraId="2CDCA0FE" w14:textId="7477FE5C" w:rsidR="00753C51" w:rsidRDefault="00753C51" w:rsidP="00753C51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Národní strategie pro kvantové technologie (dále jen „Strategie“) je třetím strategickým dokumentem oblasti klíčových technologií.</w:t>
            </w:r>
            <w:r w:rsidR="0044552A">
              <w:t xml:space="preserve"> </w:t>
            </w:r>
            <w:r>
              <w:t>Společně s Národní strategií umělé inteligence a Národní polovodičovou strategií tvoří skupinu strategických dokumentů, které vychází z vládních priorit</w:t>
            </w:r>
            <w:r w:rsidR="00276B76">
              <w:t xml:space="preserve"> a které jsou nezbytné </w:t>
            </w:r>
            <w:r>
              <w:t>pro dosažení a udržení potřebné mezinárodní konkurenceschopnosti</w:t>
            </w:r>
            <w:r w:rsidR="00276B76">
              <w:t xml:space="preserve"> i pro</w:t>
            </w:r>
            <w:r>
              <w:t xml:space="preserve"> zajištění bezpečnosti a obranyschopnosti státu.</w:t>
            </w:r>
            <w:r w:rsidR="0044552A">
              <w:t xml:space="preserve"> </w:t>
            </w:r>
            <w:r w:rsidR="00512253">
              <w:t xml:space="preserve">Příprava </w:t>
            </w:r>
            <w:r w:rsidR="0044552A">
              <w:t xml:space="preserve">Strategie </w:t>
            </w:r>
            <w:r w:rsidR="00512253">
              <w:t xml:space="preserve">probíhala pod koordinací </w:t>
            </w:r>
            <w:r w:rsidR="0044552A">
              <w:t>zmocněnc</w:t>
            </w:r>
            <w:r w:rsidR="00512253">
              <w:t>em</w:t>
            </w:r>
            <w:r w:rsidR="0044552A">
              <w:t xml:space="preserve"> pro kvantové technologie </w:t>
            </w:r>
            <w:r w:rsidR="0044552A" w:rsidRPr="0044552A">
              <w:t>Mgr. Petr</w:t>
            </w:r>
            <w:r w:rsidR="00512253">
              <w:t>em</w:t>
            </w:r>
            <w:r w:rsidR="0044552A" w:rsidRPr="0044552A">
              <w:t xml:space="preserve"> Kavalíř</w:t>
            </w:r>
            <w:r w:rsidR="00512253">
              <w:t>em</w:t>
            </w:r>
            <w:r w:rsidR="0044552A" w:rsidRPr="0044552A">
              <w:t>, PhD., MBA</w:t>
            </w:r>
            <w:r w:rsidR="0044552A">
              <w:t>.</w:t>
            </w:r>
          </w:p>
          <w:p w14:paraId="0864D369" w14:textId="7C112FF4" w:rsidR="00753C51" w:rsidRDefault="00753C51" w:rsidP="00753C51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Strategie se zaměřuje</w:t>
            </w:r>
            <w:r w:rsidR="00276B76">
              <w:t xml:space="preserve"> </w:t>
            </w:r>
            <w:r w:rsidR="0044552A">
              <w:t xml:space="preserve">na </w:t>
            </w:r>
            <w:r w:rsidR="00276B76">
              <w:t>5 klíčových oblastí:</w:t>
            </w:r>
          </w:p>
          <w:p w14:paraId="26D83A68" w14:textId="7824A249" w:rsidR="00276B76" w:rsidRDefault="00276B76" w:rsidP="00276B76">
            <w:pPr>
              <w:pStyle w:val="Odstavecseseznamem"/>
              <w:keepNext/>
              <w:numPr>
                <w:ilvl w:val="0"/>
                <w:numId w:val="14"/>
              </w:numPr>
              <w:tabs>
                <w:tab w:val="left" w:pos="-26"/>
                <w:tab w:val="left" w:pos="900"/>
              </w:tabs>
              <w:spacing w:after="120"/>
            </w:pPr>
            <w:r>
              <w:t>Výzkum a vývoj</w:t>
            </w:r>
          </w:p>
          <w:p w14:paraId="50456E4A" w14:textId="3A660D9A" w:rsidR="00276B76" w:rsidRDefault="00276B76" w:rsidP="00276B76">
            <w:pPr>
              <w:pStyle w:val="Odstavecseseznamem"/>
              <w:keepNext/>
              <w:numPr>
                <w:ilvl w:val="0"/>
                <w:numId w:val="14"/>
              </w:numPr>
              <w:tabs>
                <w:tab w:val="left" w:pos="-26"/>
                <w:tab w:val="left" w:pos="900"/>
              </w:tabs>
              <w:spacing w:after="120"/>
            </w:pPr>
            <w:r>
              <w:t>Vzdělávání a výchova talentů</w:t>
            </w:r>
          </w:p>
          <w:p w14:paraId="12A4E3CD" w14:textId="77777777" w:rsidR="00276B76" w:rsidRDefault="00276B76" w:rsidP="00276B76">
            <w:pPr>
              <w:pStyle w:val="Odstavecseseznamem"/>
              <w:keepNext/>
              <w:numPr>
                <w:ilvl w:val="0"/>
                <w:numId w:val="14"/>
              </w:numPr>
              <w:tabs>
                <w:tab w:val="left" w:pos="-26"/>
                <w:tab w:val="left" w:pos="900"/>
              </w:tabs>
              <w:spacing w:after="120"/>
            </w:pPr>
            <w:r>
              <w:t>Konkurenceschopná ekonomika</w:t>
            </w:r>
          </w:p>
          <w:p w14:paraId="5AC3FDEC" w14:textId="3E341467" w:rsidR="00276B76" w:rsidRDefault="00276B76" w:rsidP="00276B76">
            <w:pPr>
              <w:pStyle w:val="Odstavecseseznamem"/>
              <w:keepNext/>
              <w:numPr>
                <w:ilvl w:val="0"/>
                <w:numId w:val="14"/>
              </w:numPr>
              <w:tabs>
                <w:tab w:val="left" w:pos="-26"/>
                <w:tab w:val="left" w:pos="900"/>
              </w:tabs>
              <w:spacing w:after="120"/>
            </w:pPr>
            <w:r>
              <w:t>Mezinárodní spolupráce a internacionalizace</w:t>
            </w:r>
          </w:p>
          <w:p w14:paraId="2BF12765" w14:textId="77777777" w:rsidR="00276B76" w:rsidRDefault="00276B76" w:rsidP="00276B76">
            <w:pPr>
              <w:pStyle w:val="Odstavecseseznamem"/>
              <w:keepNext/>
              <w:numPr>
                <w:ilvl w:val="0"/>
                <w:numId w:val="14"/>
              </w:numPr>
              <w:tabs>
                <w:tab w:val="left" w:pos="-26"/>
                <w:tab w:val="left" w:pos="900"/>
              </w:tabs>
              <w:spacing w:after="120"/>
            </w:pPr>
            <w:r>
              <w:t>Bezpečnost a obrana</w:t>
            </w:r>
          </w:p>
          <w:p w14:paraId="7D6B2198" w14:textId="13380028" w:rsidR="00276B76" w:rsidRDefault="00276B76" w:rsidP="00276B76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 xml:space="preserve">V těchto oblastech </w:t>
            </w:r>
            <w:r w:rsidR="008900E8">
              <w:t xml:space="preserve">stanovuje </w:t>
            </w:r>
            <w:r w:rsidR="006A1871">
              <w:t xml:space="preserve">strategické cíle s celkem </w:t>
            </w:r>
            <w:r w:rsidR="008900E8" w:rsidRPr="008900E8">
              <w:rPr>
                <w:b/>
                <w:bCs/>
              </w:rPr>
              <w:t>15</w:t>
            </w:r>
            <w:r w:rsidRPr="008900E8">
              <w:rPr>
                <w:b/>
                <w:bCs/>
              </w:rPr>
              <w:t xml:space="preserve"> </w:t>
            </w:r>
            <w:r w:rsidR="008900E8" w:rsidRPr="008900E8">
              <w:rPr>
                <w:b/>
                <w:bCs/>
              </w:rPr>
              <w:t>opatření</w:t>
            </w:r>
            <w:r w:rsidR="006A1871">
              <w:rPr>
                <w:b/>
                <w:bCs/>
              </w:rPr>
              <w:t xml:space="preserve">mi </w:t>
            </w:r>
            <w:r w:rsidR="006A1871" w:rsidRPr="006A1871">
              <w:t>s </w:t>
            </w:r>
            <w:r w:rsidR="006A1871" w:rsidRPr="00ED0AF2">
              <w:rPr>
                <w:b/>
                <w:bCs/>
              </w:rPr>
              <w:t>termíny plnění</w:t>
            </w:r>
            <w:r w:rsidR="006A1871">
              <w:t xml:space="preserve"> v období </w:t>
            </w:r>
            <w:r w:rsidR="006A1871" w:rsidRPr="006A1871">
              <w:rPr>
                <w:b/>
                <w:bCs/>
              </w:rPr>
              <w:t>2026-2032</w:t>
            </w:r>
            <w:r w:rsidR="008900E8">
              <w:t>.</w:t>
            </w:r>
          </w:p>
          <w:p w14:paraId="56C91166" w14:textId="598D9630" w:rsidR="005241A2" w:rsidRPr="009719F6" w:rsidRDefault="00276B76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276B76">
              <w:rPr>
                <w:b/>
                <w:bCs/>
              </w:rPr>
              <w:t xml:space="preserve">Celkové </w:t>
            </w:r>
            <w:r w:rsidR="008900E8">
              <w:rPr>
                <w:b/>
                <w:bCs/>
              </w:rPr>
              <w:t>náklady</w:t>
            </w:r>
            <w:r>
              <w:t xml:space="preserve"> pro naplnění strategie byly stanoveny na </w:t>
            </w:r>
            <w:r w:rsidRPr="00276B76">
              <w:rPr>
                <w:b/>
                <w:bCs/>
              </w:rPr>
              <w:t>4.637 mld. Kč</w:t>
            </w:r>
            <w:r w:rsidRPr="00276B76">
              <w:t>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4DE480C2" w14:textId="4DD8F131" w:rsidR="005241A2" w:rsidRDefault="0044552A" w:rsidP="005241A2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ED0AF2">
              <w:t>Materiál Národní strategie pro kvantové technologie</w:t>
            </w:r>
          </w:p>
          <w:p w14:paraId="133F1304" w14:textId="38842AA1" w:rsidR="000672D8" w:rsidRPr="00F54DDF" w:rsidRDefault="00F54DDF" w:rsidP="00F54DDF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Návrh Stanovisk</w:t>
            </w:r>
            <w:r w:rsidR="00B70F56">
              <w:t>a</w:t>
            </w:r>
            <w:r>
              <w:t xml:space="preserve"> Rady k </w:t>
            </w:r>
            <w:r w:rsidRPr="00ED0AF2">
              <w:t>Národní strategi</w:t>
            </w:r>
            <w:r>
              <w:t>i</w:t>
            </w:r>
            <w:r w:rsidRPr="00ED0AF2">
              <w:t xml:space="preserve"> pro kvantové technologie</w:t>
            </w:r>
          </w:p>
        </w:tc>
      </w:tr>
      <w:tr w:rsidR="005241A2" w:rsidRPr="00DE2BC0" w14:paraId="644417FF" w14:textId="77777777" w:rsidTr="005241A2">
        <w:trPr>
          <w:trHeight w:val="1757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13AC0E" w14:textId="7FF2A813" w:rsidR="005241A2" w:rsidRPr="00ED0AF2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ED0AF2">
              <w:rPr>
                <w:b/>
                <w:bCs/>
                <w:i/>
              </w:rPr>
              <w:t>Návrh usnesení</w:t>
            </w:r>
          </w:p>
          <w:p w14:paraId="07BC7E5D" w14:textId="485B2F54" w:rsidR="005241A2" w:rsidRDefault="005241A2" w:rsidP="005241A2">
            <w:pPr>
              <w:autoSpaceDE w:val="0"/>
              <w:autoSpaceDN w:val="0"/>
              <w:adjustRightInd w:val="0"/>
              <w:spacing w:after="120"/>
            </w:pPr>
            <w:r w:rsidRPr="00AB734E">
              <w:rPr>
                <w:color w:val="000000"/>
              </w:rPr>
              <w:t>Rada</w:t>
            </w:r>
          </w:p>
          <w:p w14:paraId="78ED41E6" w14:textId="5026667A" w:rsidR="000672D8" w:rsidRPr="00ED0AF2" w:rsidRDefault="00F54DDF" w:rsidP="00F54DDF">
            <w:pPr>
              <w:numPr>
                <w:ilvl w:val="0"/>
                <w:numId w:val="11"/>
              </w:numPr>
              <w:spacing w:after="0" w:line="240" w:lineRule="auto"/>
            </w:pPr>
            <w:r>
              <w:t>s</w:t>
            </w:r>
            <w:r w:rsidR="000672D8" w:rsidRPr="00ED0AF2">
              <w:t>chvaluje</w:t>
            </w:r>
            <w:r>
              <w:t xml:space="preserve"> Stanovisko Rady k</w:t>
            </w:r>
            <w:r w:rsidR="000672D8" w:rsidRPr="00ED0AF2">
              <w:t xml:space="preserve"> </w:t>
            </w:r>
            <w:r w:rsidR="006B77FC" w:rsidRPr="00ED0AF2">
              <w:t>Národní strategii pro kvantové technologie</w:t>
            </w:r>
            <w:r w:rsidR="000672D8" w:rsidRPr="00ED0AF2">
              <w:t>,</w:t>
            </w:r>
          </w:p>
          <w:p w14:paraId="5BE2034D" w14:textId="77777777" w:rsidR="00F54DDF" w:rsidRPr="00F54DDF" w:rsidRDefault="000672D8" w:rsidP="00F54DDF">
            <w:pPr>
              <w:numPr>
                <w:ilvl w:val="0"/>
                <w:numId w:val="11"/>
              </w:numPr>
              <w:spacing w:after="0" w:line="240" w:lineRule="auto"/>
            </w:pPr>
            <w:r w:rsidRPr="00ED0AF2">
              <w:t>ž</w:t>
            </w:r>
            <w:r w:rsidRPr="00F72B15">
              <w:t xml:space="preserve">ádá </w:t>
            </w:r>
            <w:r w:rsidR="00512253" w:rsidRPr="00512253">
              <w:t>předsedu Rady pro výzkum, vývoj a inovace</w:t>
            </w:r>
            <w:r w:rsidR="00512253">
              <w:t xml:space="preserve"> o</w:t>
            </w:r>
            <w:r w:rsidR="00512253" w:rsidRPr="00512253">
              <w:t xml:space="preserve"> zapracování</w:t>
            </w:r>
            <w:r w:rsidR="00512253">
              <w:t xml:space="preserve"> </w:t>
            </w:r>
            <w:r w:rsidRPr="00F72B15">
              <w:t>připomín</w:t>
            </w:r>
            <w:r w:rsidR="00512253">
              <w:t>e</w:t>
            </w:r>
            <w:r w:rsidRPr="00F72B15">
              <w:t>k</w:t>
            </w:r>
            <w:r w:rsidR="00F72B15" w:rsidRPr="00F72B15">
              <w:t xml:space="preserve"> uveden</w:t>
            </w:r>
            <w:r w:rsidR="00512253">
              <w:t>ých</w:t>
            </w:r>
            <w:r w:rsidR="00F72B15" w:rsidRPr="00F72B15">
              <w:t xml:space="preserve"> ve Stanovisku Rady</w:t>
            </w:r>
            <w:r w:rsidR="00F54DDF">
              <w:t>,</w:t>
            </w:r>
          </w:p>
          <w:p w14:paraId="2728D36F" w14:textId="411C18EB" w:rsidR="005241A2" w:rsidRPr="00E21A89" w:rsidRDefault="00F72B15" w:rsidP="00F54DDF">
            <w:pPr>
              <w:numPr>
                <w:ilvl w:val="0"/>
                <w:numId w:val="11"/>
              </w:numPr>
              <w:spacing w:after="0" w:line="240" w:lineRule="auto"/>
            </w:pPr>
            <w:r w:rsidRPr="00F54DDF">
              <w:t>pověřuje předsednictvo Rady k</w:t>
            </w:r>
            <w:r w:rsidR="00F54DDF">
              <w:t> </w:t>
            </w:r>
            <w:r w:rsidRPr="00F54DDF">
              <w:t>vypořádání</w:t>
            </w:r>
            <w:r w:rsidR="00F54DDF">
              <w:t xml:space="preserve"> připomínek</w:t>
            </w:r>
            <w:r w:rsidRPr="00F54DDF">
              <w:t>.</w:t>
            </w:r>
          </w:p>
        </w:tc>
      </w:tr>
      <w:tr w:rsidR="005241A2" w:rsidRPr="00DE2BC0" w14:paraId="0F2E0D36" w14:textId="77777777" w:rsidTr="005241A2">
        <w:trPr>
          <w:trHeight w:val="964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3598734" w14:textId="77777777" w:rsidR="005241A2" w:rsidRDefault="005241A2" w:rsidP="005241A2">
            <w:pPr>
              <w:spacing w:before="120" w:after="120"/>
              <w:rPr>
                <w:b/>
                <w:i/>
              </w:rPr>
            </w:pPr>
            <w:r w:rsidRPr="00CE7925">
              <w:rPr>
                <w:b/>
                <w:i/>
              </w:rPr>
              <w:lastRenderedPageBreak/>
              <w:t>Provede</w:t>
            </w:r>
          </w:p>
          <w:p w14:paraId="3CA48924" w14:textId="273716B5" w:rsidR="005241A2" w:rsidRPr="00CE7925" w:rsidRDefault="005241A2" w:rsidP="005241A2">
            <w:pPr>
              <w:spacing w:before="120" w:after="120"/>
              <w:rPr>
                <w:b/>
                <w:bCs/>
                <w:i/>
              </w:rPr>
            </w:pPr>
            <w:r>
              <w:t>Sekce pro vědu, výzkum a inovace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2C1FD" w14:textId="77777777" w:rsidR="00FC3226" w:rsidRDefault="00FC3226" w:rsidP="00604B45">
      <w:r>
        <w:separator/>
      </w:r>
    </w:p>
  </w:endnote>
  <w:endnote w:type="continuationSeparator" w:id="0">
    <w:p w14:paraId="0B1DBA37" w14:textId="77777777" w:rsidR="00FC3226" w:rsidRDefault="00FC3226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7B75F282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3D38BB">
              <w:rPr>
                <w:sz w:val="16"/>
                <w:szCs w:val="16"/>
              </w:rPr>
              <w:t>12</w:t>
            </w:r>
            <w:r w:rsidR="00144F5B" w:rsidRPr="00144F5B">
              <w:rPr>
                <w:sz w:val="16"/>
                <w:szCs w:val="16"/>
              </w:rPr>
              <w:t>/A</w:t>
            </w:r>
            <w:r w:rsidR="003D38BB">
              <w:rPr>
                <w:sz w:val="16"/>
                <w:szCs w:val="16"/>
              </w:rPr>
              <w:t>4</w:t>
            </w:r>
            <w:r w:rsidR="00144F5B">
              <w:t xml:space="preserve"> </w:t>
            </w:r>
            <w:r w:rsidR="003D38BB" w:rsidRPr="003D38BB">
              <w:rPr>
                <w:sz w:val="16"/>
                <w:szCs w:val="16"/>
              </w:rPr>
              <w:t>Návrh Stanoviska Rady k Národní strategii pro kvantové technologie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1EFD8" w14:textId="77777777" w:rsidR="00FC3226" w:rsidRDefault="00FC3226" w:rsidP="00604B45">
      <w:r>
        <w:separator/>
      </w:r>
    </w:p>
  </w:footnote>
  <w:footnote w:type="continuationSeparator" w:id="0">
    <w:p w14:paraId="585AD80E" w14:textId="77777777" w:rsidR="00FC3226" w:rsidRDefault="00FC3226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E2688"/>
    <w:multiLevelType w:val="hybridMultilevel"/>
    <w:tmpl w:val="7248CFE0"/>
    <w:lvl w:ilvl="0" w:tplc="97D8D6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6916C5"/>
    <w:multiLevelType w:val="hybridMultilevel"/>
    <w:tmpl w:val="5FC0E094"/>
    <w:lvl w:ilvl="0" w:tplc="97D8D6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3"/>
  </w:num>
  <w:num w:numId="2" w16cid:durableId="2081907147">
    <w:abstractNumId w:val="11"/>
  </w:num>
  <w:num w:numId="3" w16cid:durableId="1893038338">
    <w:abstractNumId w:val="4"/>
  </w:num>
  <w:num w:numId="4" w16cid:durableId="1786805665">
    <w:abstractNumId w:val="8"/>
  </w:num>
  <w:num w:numId="5" w16cid:durableId="1264728757">
    <w:abstractNumId w:val="12"/>
  </w:num>
  <w:num w:numId="6" w16cid:durableId="1901821760">
    <w:abstractNumId w:val="9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3"/>
  </w:num>
  <w:num w:numId="10" w16cid:durableId="1837643966">
    <w:abstractNumId w:val="10"/>
  </w:num>
  <w:num w:numId="11" w16cid:durableId="796532185">
    <w:abstractNumId w:val="0"/>
  </w:num>
  <w:num w:numId="12" w16cid:durableId="2033064661">
    <w:abstractNumId w:val="7"/>
  </w:num>
  <w:num w:numId="13" w16cid:durableId="796992195">
    <w:abstractNumId w:val="5"/>
  </w:num>
  <w:num w:numId="14" w16cid:durableId="1148938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136F2"/>
    <w:rsid w:val="0002007D"/>
    <w:rsid w:val="00025617"/>
    <w:rsid w:val="00035ED7"/>
    <w:rsid w:val="000467DA"/>
    <w:rsid w:val="000511C2"/>
    <w:rsid w:val="000672D8"/>
    <w:rsid w:val="00075C1E"/>
    <w:rsid w:val="00076BEB"/>
    <w:rsid w:val="0008087D"/>
    <w:rsid w:val="000859E4"/>
    <w:rsid w:val="0009458F"/>
    <w:rsid w:val="000A6385"/>
    <w:rsid w:val="000C609C"/>
    <w:rsid w:val="000C6A0C"/>
    <w:rsid w:val="000D7556"/>
    <w:rsid w:val="000E1B1B"/>
    <w:rsid w:val="000E7A12"/>
    <w:rsid w:val="001044CD"/>
    <w:rsid w:val="00126D7E"/>
    <w:rsid w:val="00133C49"/>
    <w:rsid w:val="00141482"/>
    <w:rsid w:val="00144F5B"/>
    <w:rsid w:val="00163B03"/>
    <w:rsid w:val="00171EF3"/>
    <w:rsid w:val="00191B49"/>
    <w:rsid w:val="001A03D6"/>
    <w:rsid w:val="001A6A82"/>
    <w:rsid w:val="001C1526"/>
    <w:rsid w:val="001C2E95"/>
    <w:rsid w:val="001C5AB5"/>
    <w:rsid w:val="001C6179"/>
    <w:rsid w:val="001D5F3B"/>
    <w:rsid w:val="001E1924"/>
    <w:rsid w:val="001F517B"/>
    <w:rsid w:val="002107E9"/>
    <w:rsid w:val="002241CF"/>
    <w:rsid w:val="00235856"/>
    <w:rsid w:val="00242E30"/>
    <w:rsid w:val="00251D54"/>
    <w:rsid w:val="0026594C"/>
    <w:rsid w:val="00276B76"/>
    <w:rsid w:val="00282845"/>
    <w:rsid w:val="00293AEA"/>
    <w:rsid w:val="00295657"/>
    <w:rsid w:val="002A2FD0"/>
    <w:rsid w:val="002C0726"/>
    <w:rsid w:val="002C5775"/>
    <w:rsid w:val="002D3C4B"/>
    <w:rsid w:val="002F19C4"/>
    <w:rsid w:val="002F4F5C"/>
    <w:rsid w:val="00342659"/>
    <w:rsid w:val="00352CA6"/>
    <w:rsid w:val="00352DD8"/>
    <w:rsid w:val="00362F82"/>
    <w:rsid w:val="0038141B"/>
    <w:rsid w:val="00383A75"/>
    <w:rsid w:val="003870AA"/>
    <w:rsid w:val="003906D0"/>
    <w:rsid w:val="003976A0"/>
    <w:rsid w:val="003C04E9"/>
    <w:rsid w:val="003C6885"/>
    <w:rsid w:val="003D38BB"/>
    <w:rsid w:val="003D64A2"/>
    <w:rsid w:val="003E4F9E"/>
    <w:rsid w:val="00420B23"/>
    <w:rsid w:val="00423662"/>
    <w:rsid w:val="00424552"/>
    <w:rsid w:val="0042761D"/>
    <w:rsid w:val="004354D5"/>
    <w:rsid w:val="00441B47"/>
    <w:rsid w:val="00443E48"/>
    <w:rsid w:val="00444127"/>
    <w:rsid w:val="0044552A"/>
    <w:rsid w:val="00447ABC"/>
    <w:rsid w:val="00456550"/>
    <w:rsid w:val="00486CA7"/>
    <w:rsid w:val="004970B3"/>
    <w:rsid w:val="004A66A1"/>
    <w:rsid w:val="004E4548"/>
    <w:rsid w:val="004E6BE1"/>
    <w:rsid w:val="004F1D48"/>
    <w:rsid w:val="00510EA4"/>
    <w:rsid w:val="00512253"/>
    <w:rsid w:val="00512835"/>
    <w:rsid w:val="00515555"/>
    <w:rsid w:val="005241A2"/>
    <w:rsid w:val="00524CE5"/>
    <w:rsid w:val="00537022"/>
    <w:rsid w:val="005628A2"/>
    <w:rsid w:val="00564B89"/>
    <w:rsid w:val="0057409A"/>
    <w:rsid w:val="005821A3"/>
    <w:rsid w:val="005964E0"/>
    <w:rsid w:val="005A4C59"/>
    <w:rsid w:val="005C4D50"/>
    <w:rsid w:val="005C5B19"/>
    <w:rsid w:val="005D1635"/>
    <w:rsid w:val="005D3434"/>
    <w:rsid w:val="00602F23"/>
    <w:rsid w:val="00604B45"/>
    <w:rsid w:val="006079D1"/>
    <w:rsid w:val="0061165B"/>
    <w:rsid w:val="006255C0"/>
    <w:rsid w:val="00627E3D"/>
    <w:rsid w:val="00635765"/>
    <w:rsid w:val="0066338C"/>
    <w:rsid w:val="0066766D"/>
    <w:rsid w:val="006878F0"/>
    <w:rsid w:val="006A1871"/>
    <w:rsid w:val="006A2356"/>
    <w:rsid w:val="006B2B00"/>
    <w:rsid w:val="006B77FC"/>
    <w:rsid w:val="006C3F7F"/>
    <w:rsid w:val="006F1181"/>
    <w:rsid w:val="007007A8"/>
    <w:rsid w:val="0070637D"/>
    <w:rsid w:val="0071047A"/>
    <w:rsid w:val="00717076"/>
    <w:rsid w:val="00722063"/>
    <w:rsid w:val="0072266C"/>
    <w:rsid w:val="00733976"/>
    <w:rsid w:val="00735DE8"/>
    <w:rsid w:val="00741D89"/>
    <w:rsid w:val="007439F1"/>
    <w:rsid w:val="00753C51"/>
    <w:rsid w:val="00766AC5"/>
    <w:rsid w:val="00770D44"/>
    <w:rsid w:val="00793E54"/>
    <w:rsid w:val="007A407A"/>
    <w:rsid w:val="007E2572"/>
    <w:rsid w:val="007E5BD4"/>
    <w:rsid w:val="007E6CA2"/>
    <w:rsid w:val="0080171F"/>
    <w:rsid w:val="008017A4"/>
    <w:rsid w:val="00803160"/>
    <w:rsid w:val="008044E8"/>
    <w:rsid w:val="00811AC9"/>
    <w:rsid w:val="008120CD"/>
    <w:rsid w:val="0081613E"/>
    <w:rsid w:val="00840107"/>
    <w:rsid w:val="0084124B"/>
    <w:rsid w:val="00841C3F"/>
    <w:rsid w:val="008517B5"/>
    <w:rsid w:val="00855B4C"/>
    <w:rsid w:val="00871B74"/>
    <w:rsid w:val="0088447D"/>
    <w:rsid w:val="008863A6"/>
    <w:rsid w:val="00887F71"/>
    <w:rsid w:val="008900E8"/>
    <w:rsid w:val="00890204"/>
    <w:rsid w:val="0089638D"/>
    <w:rsid w:val="008A3DC7"/>
    <w:rsid w:val="008A6944"/>
    <w:rsid w:val="008B1728"/>
    <w:rsid w:val="008B60F3"/>
    <w:rsid w:val="008E557D"/>
    <w:rsid w:val="008F0140"/>
    <w:rsid w:val="008F6521"/>
    <w:rsid w:val="0090230E"/>
    <w:rsid w:val="0090323E"/>
    <w:rsid w:val="0090482F"/>
    <w:rsid w:val="0090637C"/>
    <w:rsid w:val="0091473F"/>
    <w:rsid w:val="00915B70"/>
    <w:rsid w:val="009202D9"/>
    <w:rsid w:val="00945CB2"/>
    <w:rsid w:val="0095235B"/>
    <w:rsid w:val="0095565E"/>
    <w:rsid w:val="00956C0B"/>
    <w:rsid w:val="00986BA6"/>
    <w:rsid w:val="00990B90"/>
    <w:rsid w:val="009922C8"/>
    <w:rsid w:val="009B0370"/>
    <w:rsid w:val="009B4A4C"/>
    <w:rsid w:val="009C3648"/>
    <w:rsid w:val="009E228F"/>
    <w:rsid w:val="009F673B"/>
    <w:rsid w:val="00A30C3C"/>
    <w:rsid w:val="00A640A5"/>
    <w:rsid w:val="00A65C3C"/>
    <w:rsid w:val="00A67237"/>
    <w:rsid w:val="00A75A40"/>
    <w:rsid w:val="00A7760C"/>
    <w:rsid w:val="00A822FF"/>
    <w:rsid w:val="00A84F49"/>
    <w:rsid w:val="00AA35D6"/>
    <w:rsid w:val="00AA5C0F"/>
    <w:rsid w:val="00AB5597"/>
    <w:rsid w:val="00AC5DC9"/>
    <w:rsid w:val="00AD2DCE"/>
    <w:rsid w:val="00AD451B"/>
    <w:rsid w:val="00AE1069"/>
    <w:rsid w:val="00AE7303"/>
    <w:rsid w:val="00AF01A5"/>
    <w:rsid w:val="00AF502C"/>
    <w:rsid w:val="00AF5DE4"/>
    <w:rsid w:val="00B0174B"/>
    <w:rsid w:val="00B01CFE"/>
    <w:rsid w:val="00B20ED5"/>
    <w:rsid w:val="00B24765"/>
    <w:rsid w:val="00B33F61"/>
    <w:rsid w:val="00B410C9"/>
    <w:rsid w:val="00B415B3"/>
    <w:rsid w:val="00B445C0"/>
    <w:rsid w:val="00B45E88"/>
    <w:rsid w:val="00B6005B"/>
    <w:rsid w:val="00B67680"/>
    <w:rsid w:val="00B70F56"/>
    <w:rsid w:val="00B73C81"/>
    <w:rsid w:val="00B80711"/>
    <w:rsid w:val="00BB2FAC"/>
    <w:rsid w:val="00BC1D89"/>
    <w:rsid w:val="00BC5C1F"/>
    <w:rsid w:val="00BC7F94"/>
    <w:rsid w:val="00BD17A6"/>
    <w:rsid w:val="00BE4E17"/>
    <w:rsid w:val="00C0180B"/>
    <w:rsid w:val="00C05BAF"/>
    <w:rsid w:val="00C27666"/>
    <w:rsid w:val="00C4014E"/>
    <w:rsid w:val="00C54A7F"/>
    <w:rsid w:val="00C635EA"/>
    <w:rsid w:val="00C641E1"/>
    <w:rsid w:val="00C674B4"/>
    <w:rsid w:val="00C71728"/>
    <w:rsid w:val="00C7658A"/>
    <w:rsid w:val="00C77162"/>
    <w:rsid w:val="00C84197"/>
    <w:rsid w:val="00C910BF"/>
    <w:rsid w:val="00C91565"/>
    <w:rsid w:val="00C92FC9"/>
    <w:rsid w:val="00CA58A0"/>
    <w:rsid w:val="00CC1FD9"/>
    <w:rsid w:val="00CD5D12"/>
    <w:rsid w:val="00CE2C4E"/>
    <w:rsid w:val="00CE70B9"/>
    <w:rsid w:val="00D0212E"/>
    <w:rsid w:val="00D061BA"/>
    <w:rsid w:val="00D266C9"/>
    <w:rsid w:val="00D26EA4"/>
    <w:rsid w:val="00D321D6"/>
    <w:rsid w:val="00D35C60"/>
    <w:rsid w:val="00D36218"/>
    <w:rsid w:val="00D37F9F"/>
    <w:rsid w:val="00D43F7D"/>
    <w:rsid w:val="00D53021"/>
    <w:rsid w:val="00D74354"/>
    <w:rsid w:val="00D85AA0"/>
    <w:rsid w:val="00D86AA3"/>
    <w:rsid w:val="00D94221"/>
    <w:rsid w:val="00D95865"/>
    <w:rsid w:val="00DA045F"/>
    <w:rsid w:val="00DC2129"/>
    <w:rsid w:val="00DC5C64"/>
    <w:rsid w:val="00DD0CB0"/>
    <w:rsid w:val="00DD3E78"/>
    <w:rsid w:val="00DE4F80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0734"/>
    <w:rsid w:val="00ED0AF2"/>
    <w:rsid w:val="00ED2ED3"/>
    <w:rsid w:val="00ED7E4C"/>
    <w:rsid w:val="00EE66EE"/>
    <w:rsid w:val="00EE745A"/>
    <w:rsid w:val="00EF4F64"/>
    <w:rsid w:val="00F145AB"/>
    <w:rsid w:val="00F16021"/>
    <w:rsid w:val="00F341EF"/>
    <w:rsid w:val="00F3487E"/>
    <w:rsid w:val="00F47E34"/>
    <w:rsid w:val="00F54DDF"/>
    <w:rsid w:val="00F67976"/>
    <w:rsid w:val="00F70093"/>
    <w:rsid w:val="00F72B15"/>
    <w:rsid w:val="00F84D65"/>
    <w:rsid w:val="00F86F06"/>
    <w:rsid w:val="00FA009E"/>
    <w:rsid w:val="00FB668D"/>
    <w:rsid w:val="00FC3226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6676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138</TotalTime>
  <Pages>2</Pages>
  <Words>246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Lysý</dc:creator>
  <cp:keywords/>
  <dc:description/>
  <cp:lastModifiedBy>Petr Lysý</cp:lastModifiedBy>
  <cp:revision>28</cp:revision>
  <cp:lastPrinted>2025-02-25T12:21:00Z</cp:lastPrinted>
  <dcterms:created xsi:type="dcterms:W3CDTF">2025-04-11T07:24:00Z</dcterms:created>
  <dcterms:modified xsi:type="dcterms:W3CDTF">2025-05-27T08:05:00Z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